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1B6F62" w:rsidRPr="001B6F62">
              <w:rPr>
                <w:rFonts w:asciiTheme="minorHAnsi" w:hAnsiTheme="minorHAnsi" w:cstheme="minorHAnsi"/>
                <w:i/>
              </w:rPr>
              <w:t>EWP – budowa systemu informatycznego na potrzeby przeciwdziałania epidemii COVID-19</w:t>
            </w:r>
            <w:r w:rsidR="008D6C20" w:rsidRPr="008D6C20">
              <w:rPr>
                <w:rFonts w:asciiTheme="minorHAnsi" w:hAnsiTheme="minorHAnsi" w:cstheme="minorHAnsi"/>
                <w:i/>
              </w:rPr>
              <w:t xml:space="preserve"> </w:t>
            </w:r>
            <w:r w:rsidR="008D6C20" w:rsidRPr="008D6C20">
              <w:rPr>
                <w:rFonts w:asciiTheme="minorHAnsi" w:hAnsiTheme="minorHAnsi" w:cstheme="minorHAnsi"/>
              </w:rPr>
              <w:t>(raport końcowy)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:rsidTr="009F36F8">
        <w:tc>
          <w:tcPr>
            <w:tcW w:w="562" w:type="dxa"/>
            <w:shd w:val="clear" w:color="auto" w:fill="auto"/>
          </w:tcPr>
          <w:p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1A6172" w:rsidRDefault="001A6172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Str. 8</w:t>
            </w: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Rubryka: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F36F8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"Zapewnienie utrzymania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(w okresie trwałości)"</w:t>
            </w:r>
          </w:p>
        </w:tc>
        <w:tc>
          <w:tcPr>
            <w:tcW w:w="6946" w:type="dxa"/>
            <w:shd w:val="clear" w:color="auto" w:fill="auto"/>
          </w:tcPr>
          <w:p w:rsidR="0077042B" w:rsidRDefault="0077042B" w:rsidP="00F82A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Przedstawione </w:t>
            </w:r>
            <w:r w:rsidR="00D95EDA"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przez MZ 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wyjaśnienia są 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 xml:space="preserve">w ocenie Ministerstwa Finansów 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niewystarczające.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Przede wszystkim nie przedstawiono związku 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z finansowaniem projektu i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>nformatycznego EWP z zapewnieniem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 finansowania dotycząc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 projektu P1,P2, P4 pn. Rozwój systemu P1 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oraz zapewnienie ciągłości działania systemów utrzymywanych przez Centrum e-Zdrowia, w tym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systemów wytworzonych w ramach projektów P1, P2 i P4 realizowaneg</w:t>
            </w:r>
            <w:r w:rsidR="00C76F24">
              <w:rPr>
                <w:rFonts w:asciiTheme="minorHAnsi" w:hAnsiTheme="minorHAnsi" w:cstheme="minorHAnsi"/>
                <w:sz w:val="22"/>
                <w:szCs w:val="22"/>
              </w:rPr>
              <w:t>o przez Centrum e-Zdrowia (CeZ).</w:t>
            </w:r>
          </w:p>
          <w:p w:rsidR="0077042B" w:rsidRPr="0077042B" w:rsidRDefault="0077042B" w:rsidP="007704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7042B" w:rsidRPr="0077042B" w:rsidRDefault="00D95EDA" w:rsidP="007704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Ponadto, pomimo, że</w:t>
            </w:r>
            <w:r w:rsidR="0077042B"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 wzór raportu nie wymaga przedstawienia kosztów utrzymania, prosimy o przedstawienie szacowanych kosztów utrzymania, w podziale na lata, z wyszczególnieniem środków na wynagrodzenia tym bardziej w przypadku finansowania ze środków budżetu państwa.</w:t>
            </w:r>
          </w:p>
          <w:p w:rsidR="0077042B" w:rsidRDefault="0077042B" w:rsidP="007704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7716" w:rsidRPr="009F36F8" w:rsidRDefault="0077042B" w:rsidP="007704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Jednocześnie, w związku z informacją,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 środki pozawynagrodzeniowe miałyby być finansowane w ramach zapewnienia, wskazać należy,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że wynagrodzenia będą finansowane w ramach dotychczasowych środków Ministra Zdrowia, w tym w ramach niezwiększonego z tego tytułu funduszu wynagrodzeń.</w:t>
            </w:r>
          </w:p>
        </w:tc>
        <w:tc>
          <w:tcPr>
            <w:tcW w:w="3544" w:type="dxa"/>
            <w:shd w:val="clear" w:color="auto" w:fill="auto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8402F"/>
    <w:rsid w:val="000B0113"/>
    <w:rsid w:val="000E7716"/>
    <w:rsid w:val="000F4F5A"/>
    <w:rsid w:val="00140BE8"/>
    <w:rsid w:val="001434BE"/>
    <w:rsid w:val="0019648E"/>
    <w:rsid w:val="001A6172"/>
    <w:rsid w:val="001B43AA"/>
    <w:rsid w:val="001B6F62"/>
    <w:rsid w:val="00214FBE"/>
    <w:rsid w:val="002247B1"/>
    <w:rsid w:val="00257EDE"/>
    <w:rsid w:val="002715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C4575"/>
    <w:rsid w:val="004D086F"/>
    <w:rsid w:val="005D2745"/>
    <w:rsid w:val="005E2A04"/>
    <w:rsid w:val="005F6527"/>
    <w:rsid w:val="006320E9"/>
    <w:rsid w:val="00653A67"/>
    <w:rsid w:val="00666246"/>
    <w:rsid w:val="006705EC"/>
    <w:rsid w:val="006B3C28"/>
    <w:rsid w:val="006C6F98"/>
    <w:rsid w:val="006D5655"/>
    <w:rsid w:val="006E16E9"/>
    <w:rsid w:val="00756688"/>
    <w:rsid w:val="00756972"/>
    <w:rsid w:val="0077042B"/>
    <w:rsid w:val="00783E4F"/>
    <w:rsid w:val="007914A9"/>
    <w:rsid w:val="007A3233"/>
    <w:rsid w:val="007B29D4"/>
    <w:rsid w:val="007C3EEB"/>
    <w:rsid w:val="007C7A4F"/>
    <w:rsid w:val="007E266F"/>
    <w:rsid w:val="00807385"/>
    <w:rsid w:val="00831512"/>
    <w:rsid w:val="00837C16"/>
    <w:rsid w:val="008D6C20"/>
    <w:rsid w:val="008F63D4"/>
    <w:rsid w:val="00944932"/>
    <w:rsid w:val="009A03B1"/>
    <w:rsid w:val="009E5FDB"/>
    <w:rsid w:val="009F36F8"/>
    <w:rsid w:val="00A06425"/>
    <w:rsid w:val="00A43FDE"/>
    <w:rsid w:val="00A45D9B"/>
    <w:rsid w:val="00A54598"/>
    <w:rsid w:val="00A7029E"/>
    <w:rsid w:val="00A83EB6"/>
    <w:rsid w:val="00AC7796"/>
    <w:rsid w:val="00AE7186"/>
    <w:rsid w:val="00B41F02"/>
    <w:rsid w:val="00B871B6"/>
    <w:rsid w:val="00C53B5F"/>
    <w:rsid w:val="00C64B1B"/>
    <w:rsid w:val="00C76F24"/>
    <w:rsid w:val="00CD5EB0"/>
    <w:rsid w:val="00D95EDA"/>
    <w:rsid w:val="00DD1D39"/>
    <w:rsid w:val="00E14C33"/>
    <w:rsid w:val="00E16E5E"/>
    <w:rsid w:val="00E740A1"/>
    <w:rsid w:val="00E94A8A"/>
    <w:rsid w:val="00F4578F"/>
    <w:rsid w:val="00F8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1A8D5-BF2F-41C4-8831-2CE94F617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2022-04-29T11:25:00Z</dcterms:created>
  <dcterms:modified xsi:type="dcterms:W3CDTF">2022-04-29T11:25:00Z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